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F9" w:rsidRDefault="00AF65F9" w:rsidP="00AF65F9">
      <w:pPr>
        <w:jc w:val="right"/>
        <w:rPr>
          <w:rFonts w:ascii="Tahoma" w:eastAsia="Times New Roman" w:hAnsi="Tahoma" w:cs="Tahoma"/>
          <w:b/>
          <w:bCs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>Załącznik nr 1.12 do SIWZ</w:t>
      </w:r>
    </w:p>
    <w:p w:rsidR="00AF65F9" w:rsidRDefault="00AF65F9" w:rsidP="00AF65F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AF65F9" w:rsidRDefault="00AF65F9" w:rsidP="00AF65F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Wymagane parametry graniczne</w:t>
      </w:r>
    </w:p>
    <w:p w:rsidR="00AF65F9" w:rsidRDefault="00AF65F9" w:rsidP="00AF65F9">
      <w:pPr>
        <w:shd w:val="clear" w:color="auto" w:fill="D9D9D9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AF65F9" w:rsidRDefault="00AF65F9" w:rsidP="008349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349D6" w:rsidRPr="008349D6" w:rsidRDefault="008349D6" w:rsidP="008349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Minimalne parametry dla u</w:t>
      </w:r>
      <w:r w:rsidRPr="008349D6">
        <w:rPr>
          <w:rFonts w:ascii="Arial" w:hAnsi="Arial" w:cs="Arial"/>
          <w:b/>
          <w:bCs/>
          <w:sz w:val="20"/>
          <w:szCs w:val="20"/>
        </w:rPr>
        <w:t>rządzenie Typ XII– 33 sztuki</w:t>
      </w:r>
    </w:p>
    <w:p w:rsidR="008349D6" w:rsidRPr="008349D6" w:rsidRDefault="008349D6" w:rsidP="008349D6">
      <w:pPr>
        <w:ind w:left="-11"/>
        <w:jc w:val="both"/>
        <w:rPr>
          <w:rFonts w:ascii="Arial" w:hAnsi="Arial" w:cs="Arial"/>
          <w:bCs/>
          <w:sz w:val="20"/>
          <w:szCs w:val="20"/>
        </w:rPr>
      </w:pPr>
      <w:r w:rsidRPr="008349D6">
        <w:rPr>
          <w:rFonts w:ascii="Arial" w:hAnsi="Arial" w:cs="Arial"/>
          <w:bCs/>
          <w:sz w:val="20"/>
          <w:szCs w:val="20"/>
        </w:rPr>
        <w:t xml:space="preserve">Monochromatyczne, wielofunkcyjne urządzenie laserowe (drukarka sieciowa, kolorowy skaner sieciowy, faks  formatu A4) </w:t>
      </w: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2259"/>
        <w:gridCol w:w="3670"/>
        <w:gridCol w:w="2939"/>
      </w:tblGrid>
      <w:tr w:rsidR="008349D6" w:rsidRPr="00AF286B" w:rsidTr="00851B2B">
        <w:trPr>
          <w:trHeight w:val="363"/>
        </w:trPr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Producent/Model urządzenia</w:t>
            </w:r>
            <w:r w:rsidR="00AF65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……………………………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349D6" w:rsidRPr="00AF286B" w:rsidTr="00851B2B">
        <w:trPr>
          <w:trHeight w:val="36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Wymagane/minimalne</w:t>
            </w:r>
            <w:r w:rsidR="00AF65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parametry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349D6" w:rsidRPr="00AF286B" w:rsidRDefault="00AF65F9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Parametry o</w:t>
            </w:r>
            <w:r w:rsidR="008349D6"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ferowane</w:t>
            </w:r>
          </w:p>
        </w:tc>
      </w:tr>
      <w:tr w:rsidR="008349D6" w:rsidRPr="00AF286B" w:rsidTr="00851B2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KOPIARKA</w:t>
            </w: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kopii/min.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 kopiowania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rPr>
          <w:trHeight w:val="95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23 sekundy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Czas uzyskania pierwszej kopii /wydruku mono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6 sekund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25 - 400% (co 1%)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Pamięć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 GB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250 GB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250-arkuszy, 1 x 100-arkuszy podajnik ręczny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Kopiowanie dwustronne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Dwustronny podajnik oryginałów (umożliwiający dwustronne automatyczne kopiowanie).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Format papieru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A4-A6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DRUKARKA</w:t>
            </w: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drukowania mono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str./min.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PCL5e, PCL6, Adobe PostScript3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00 x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F286B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F286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800A43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Komunikacja/Interfejsy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 xml:space="preserve">USB 2.0, Ethernet 10 base-T/100 base-TX,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protokoły sieciowe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>TCP/IP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349D6" w:rsidRPr="00800A43" w:rsidTr="00851B2B">
        <w:trPr>
          <w:trHeight w:val="61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en-US"/>
              </w:rPr>
              <w:t>Windows® 2000/XP/7/Server2003/Server2008</w:t>
            </w:r>
          </w:p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AF286B">
              <w:rPr>
                <w:rFonts w:ascii="Arial" w:hAnsi="Arial" w:cs="Arial"/>
                <w:sz w:val="20"/>
                <w:szCs w:val="20"/>
                <w:lang w:val="pt-PT"/>
              </w:rPr>
              <w:t>, Macintosh X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349D6" w:rsidRPr="00AF286B" w:rsidTr="00851B2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SKANER</w:t>
            </w: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600 </w:t>
            </w:r>
            <w:proofErr w:type="spellStart"/>
            <w:r w:rsidRPr="00AF286B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Prędkość skanowania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30 oryginałów kolorowych A4 na minutę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Obsługiwane formaty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A5 – A4,B5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Format wyjściowy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PDF/JPEG/TIFF/ Wysoka kompresja </w:t>
            </w:r>
            <w:r w:rsidRPr="00AF286B">
              <w:rPr>
                <w:rFonts w:ascii="Arial" w:hAnsi="Arial" w:cs="Arial"/>
                <w:sz w:val="20"/>
                <w:szCs w:val="20"/>
              </w:rPr>
              <w:lastRenderedPageBreak/>
              <w:t>PDF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Skanowanie do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 do folderu (SMB,FTP),do maila (SMTP,POP, IMAP4), USB,SD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FAKS</w:t>
            </w: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Prędkość skanowania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2,4 sekundy (200x100dpi)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Pamięć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4MB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9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286B">
              <w:rPr>
                <w:rFonts w:ascii="Arial" w:hAnsi="Arial" w:cs="Arial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Autoryzacja kodami użytkownika</w:t>
            </w:r>
          </w:p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rozbudowy o czytnik kart zbliżeniowych</w:t>
            </w:r>
          </w:p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Wydruk poufny (odbiór dokumentu po wpisaniu kodu bądź autoryzacji kartą)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75E88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 wydruk z nośników USB 2.0 (pendrive)</w:t>
            </w:r>
          </w:p>
          <w:p w:rsidR="008349D6" w:rsidRPr="00A75E88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Animowany przewodnik użytkownika na panelu urządzenia umożliwiający lokalizację zacięcia papieru</w:t>
            </w:r>
          </w:p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 xml:space="preserve">Możliwość tworzenia personalizowanych skrótów funkcyjnych na panelu urządzenia dla każdego zalogowanego użytkownika </w:t>
            </w:r>
          </w:p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ustalania limitów wydruków/kopii dla każdego użytkownika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9D6" w:rsidRPr="00AF286B" w:rsidTr="00851B2B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AF28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286B">
              <w:rPr>
                <w:rFonts w:ascii="Arial" w:hAnsi="Arial" w:cs="Arial"/>
                <w:sz w:val="20"/>
                <w:szCs w:val="20"/>
              </w:rPr>
              <w:t>Możliwość otrzymywania odebranych faksów i raportów faksu na wskazany adres e-mail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D6" w:rsidRPr="00AF286B" w:rsidRDefault="008349D6" w:rsidP="00851B2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9D6" w:rsidRPr="00AF286B" w:rsidRDefault="008349D6" w:rsidP="008349D6">
      <w:pPr>
        <w:rPr>
          <w:rFonts w:ascii="Arial" w:hAnsi="Arial" w:cs="Arial"/>
          <w:sz w:val="20"/>
          <w:szCs w:val="20"/>
        </w:rPr>
      </w:pPr>
    </w:p>
    <w:p w:rsidR="00AF65F9" w:rsidRDefault="00AF65F9" w:rsidP="00AF65F9">
      <w:p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W przypadku, gdy Wykonawca nie poda dokładnej wartości oferowanego parametru, a jedynie zamieści odpowiedź </w:t>
      </w:r>
      <w:r w:rsidRPr="00C41C9A">
        <w:rPr>
          <w:rFonts w:ascii="Tahoma" w:hAnsi="Tahoma" w:cs="Tahoma"/>
          <w:b/>
          <w:bCs/>
          <w:sz w:val="18"/>
          <w:szCs w:val="18"/>
        </w:rPr>
        <w:t>„TAK”</w:t>
      </w:r>
      <w:r>
        <w:rPr>
          <w:rFonts w:ascii="Tahoma" w:hAnsi="Tahoma" w:cs="Tahoma"/>
          <w:bCs/>
          <w:sz w:val="18"/>
          <w:szCs w:val="18"/>
        </w:rPr>
        <w:t xml:space="preserve"> lub </w:t>
      </w:r>
      <w:r w:rsidRPr="00C41C9A">
        <w:rPr>
          <w:rFonts w:ascii="Tahoma" w:hAnsi="Tahoma" w:cs="Tahoma"/>
          <w:b/>
          <w:bCs/>
          <w:sz w:val="18"/>
          <w:szCs w:val="18"/>
        </w:rPr>
        <w:t>„min./max.”</w:t>
      </w:r>
      <w:r>
        <w:rPr>
          <w:rFonts w:ascii="Tahoma" w:hAnsi="Tahoma" w:cs="Tahoma"/>
          <w:bCs/>
          <w:sz w:val="18"/>
          <w:szCs w:val="18"/>
        </w:rPr>
        <w:t xml:space="preserve"> Zamawiający uzna, że oferowany parametr ma wartość odpowiadającą wartości określonej przez Zamawiającego w kolumnie </w:t>
      </w:r>
      <w:r w:rsidRPr="003918D4">
        <w:rPr>
          <w:rFonts w:ascii="Tahoma" w:hAnsi="Tahoma" w:cs="Tahoma"/>
          <w:b/>
          <w:bCs/>
          <w:sz w:val="18"/>
          <w:szCs w:val="18"/>
        </w:rPr>
        <w:t>„</w:t>
      </w:r>
      <w:r>
        <w:rPr>
          <w:rFonts w:ascii="Arial" w:hAnsi="Arial" w:cs="Arial"/>
          <w:b/>
          <w:bCs/>
          <w:sz w:val="20"/>
          <w:szCs w:val="20"/>
        </w:rPr>
        <w:t>Wymagane/minimalne parametry</w:t>
      </w:r>
      <w:r w:rsidRPr="003918D4">
        <w:rPr>
          <w:rFonts w:ascii="Tahoma" w:hAnsi="Tahoma" w:cs="Tahoma"/>
          <w:b/>
          <w:bCs/>
          <w:sz w:val="18"/>
          <w:szCs w:val="18"/>
        </w:rPr>
        <w:t>”</w:t>
      </w:r>
      <w:r>
        <w:rPr>
          <w:rFonts w:ascii="Tahoma" w:hAnsi="Tahoma" w:cs="Tahoma"/>
          <w:bCs/>
          <w:sz w:val="18"/>
          <w:szCs w:val="18"/>
        </w:rPr>
        <w:t>.</w:t>
      </w:r>
    </w:p>
    <w:p w:rsidR="00AF65F9" w:rsidRPr="00C41C9A" w:rsidRDefault="00AF65F9" w:rsidP="00AF65F9">
      <w:pPr>
        <w:rPr>
          <w:rFonts w:ascii="Tahoma" w:hAnsi="Tahoma" w:cs="Tahoma"/>
          <w:sz w:val="20"/>
          <w:szCs w:val="20"/>
        </w:rPr>
      </w:pPr>
      <w:r w:rsidRPr="00C41C9A">
        <w:rPr>
          <w:rFonts w:ascii="Tahoma" w:hAnsi="Tahoma" w:cs="Tahoma"/>
          <w:sz w:val="20"/>
          <w:szCs w:val="20"/>
        </w:rPr>
        <w:t xml:space="preserve">Zamawiający wymaga od Wykonawcy wypełnienia powyższej tabeli, udzielając odpowiedzi </w:t>
      </w:r>
      <w:r w:rsidRPr="00AC7B47">
        <w:rPr>
          <w:rFonts w:ascii="Tahoma" w:hAnsi="Tahoma" w:cs="Tahoma"/>
          <w:b/>
          <w:sz w:val="20"/>
          <w:szCs w:val="20"/>
        </w:rPr>
        <w:t>„TAK”</w:t>
      </w:r>
      <w:r w:rsidRPr="00C41C9A">
        <w:rPr>
          <w:rFonts w:ascii="Tahoma" w:hAnsi="Tahoma" w:cs="Tahoma"/>
          <w:sz w:val="20"/>
          <w:szCs w:val="20"/>
        </w:rPr>
        <w:t xml:space="preserve"> lub </w:t>
      </w:r>
      <w:r w:rsidRPr="0017426E">
        <w:rPr>
          <w:rFonts w:ascii="Tahoma" w:hAnsi="Tahoma" w:cs="Tahoma"/>
          <w:b/>
          <w:sz w:val="20"/>
          <w:szCs w:val="20"/>
        </w:rPr>
        <w:t>wpisując dokładny parametr</w:t>
      </w:r>
      <w:r>
        <w:rPr>
          <w:rFonts w:ascii="Tahoma" w:hAnsi="Tahoma" w:cs="Tahoma"/>
          <w:sz w:val="20"/>
          <w:szCs w:val="20"/>
        </w:rPr>
        <w:t xml:space="preserve">. </w:t>
      </w:r>
      <w:r w:rsidRPr="00C41C9A">
        <w:rPr>
          <w:rFonts w:ascii="Tahoma" w:hAnsi="Tahoma" w:cs="Tahoma"/>
          <w:sz w:val="20"/>
          <w:szCs w:val="20"/>
        </w:rPr>
        <w:t xml:space="preserve">Wpisanie „NIE” </w:t>
      </w:r>
      <w:r>
        <w:rPr>
          <w:rFonts w:ascii="Tahoma" w:hAnsi="Tahoma" w:cs="Tahoma"/>
          <w:sz w:val="20"/>
          <w:szCs w:val="20"/>
        </w:rPr>
        <w:t xml:space="preserve">lub niewpisanie parametru </w:t>
      </w:r>
      <w:r w:rsidRPr="00C41C9A">
        <w:rPr>
          <w:rFonts w:ascii="Tahoma" w:hAnsi="Tahoma" w:cs="Tahoma"/>
          <w:sz w:val="20"/>
          <w:szCs w:val="20"/>
        </w:rPr>
        <w:t>spowoduje odrzucenie oferty.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25E2E" w:rsidRDefault="00625E2E"/>
    <w:p w:rsidR="008A179C" w:rsidRPr="00074918" w:rsidRDefault="008A179C" w:rsidP="008A179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                                        ………………………………………………………………..</w:t>
      </w:r>
    </w:p>
    <w:p w:rsidR="008A179C" w:rsidRDefault="008A179C" w:rsidP="008A179C">
      <w:pPr>
        <w:spacing w:after="0"/>
        <w:ind w:left="60"/>
        <w:rPr>
          <w:rFonts w:ascii="Tahoma" w:hAnsi="Tahoma" w:cs="Tahoma"/>
          <w:sz w:val="20"/>
          <w:szCs w:val="20"/>
        </w:rPr>
      </w:pPr>
      <w:r w:rsidRPr="00074918">
        <w:rPr>
          <w:rFonts w:ascii="Tahoma" w:hAnsi="Tahoma" w:cs="Tahoma"/>
          <w:sz w:val="20"/>
          <w:szCs w:val="20"/>
        </w:rPr>
        <w:t xml:space="preserve">(miejscowość, data)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  <w:r w:rsidRPr="00074918">
        <w:rPr>
          <w:rFonts w:ascii="Tahoma" w:hAnsi="Tahoma" w:cs="Tahoma"/>
          <w:sz w:val="20"/>
          <w:szCs w:val="20"/>
        </w:rPr>
        <w:t xml:space="preserve">(pieczęć i podpis osoby/osób wskazanych w </w:t>
      </w:r>
      <w:r>
        <w:rPr>
          <w:rFonts w:ascii="Tahoma" w:hAnsi="Tahoma" w:cs="Tahoma"/>
          <w:sz w:val="20"/>
          <w:szCs w:val="20"/>
        </w:rPr>
        <w:t xml:space="preserve">            </w:t>
      </w:r>
    </w:p>
    <w:p w:rsidR="008A179C" w:rsidRDefault="008A179C" w:rsidP="008A179C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dokumencie uprawnionej/uprawnionych do                        </w:t>
      </w:r>
    </w:p>
    <w:p w:rsidR="008A179C" w:rsidRDefault="008A179C" w:rsidP="008A179C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występowania w obrocie prawnym, reprezentowania </w:t>
      </w:r>
    </w:p>
    <w:p w:rsidR="008A179C" w:rsidRPr="00074918" w:rsidRDefault="008A179C" w:rsidP="008A179C">
      <w:pPr>
        <w:spacing w:after="0"/>
        <w:ind w:left="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Wykonawcy i składania oświadczeń woli w jego imieniu             </w:t>
      </w:r>
    </w:p>
    <w:p w:rsidR="008A179C" w:rsidRDefault="008A179C"/>
    <w:sectPr w:rsidR="008A17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F9" w:rsidRDefault="00AF65F9" w:rsidP="00AF65F9">
      <w:pPr>
        <w:spacing w:after="0" w:line="240" w:lineRule="auto"/>
      </w:pPr>
      <w:r>
        <w:separator/>
      </w:r>
    </w:p>
  </w:endnote>
  <w:endnote w:type="continuationSeparator" w:id="0">
    <w:p w:rsidR="00AF65F9" w:rsidRDefault="00AF65F9" w:rsidP="00AF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5F9" w:rsidRDefault="00AF65F9">
    <w:pPr>
      <w:pStyle w:val="Stopka"/>
    </w:pPr>
    <w:r>
      <w:t>Znak sprawy: EP/220/23/2017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F9" w:rsidRDefault="00AF65F9" w:rsidP="00AF65F9">
      <w:pPr>
        <w:spacing w:after="0" w:line="240" w:lineRule="auto"/>
      </w:pPr>
      <w:r>
        <w:separator/>
      </w:r>
    </w:p>
  </w:footnote>
  <w:footnote w:type="continuationSeparator" w:id="0">
    <w:p w:rsidR="00AF65F9" w:rsidRDefault="00AF65F9" w:rsidP="00AF6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64C3"/>
    <w:multiLevelType w:val="hybridMultilevel"/>
    <w:tmpl w:val="9CF29268"/>
    <w:lvl w:ilvl="0" w:tplc="F47E2E68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D6"/>
    <w:rsid w:val="00625E2E"/>
    <w:rsid w:val="00800A43"/>
    <w:rsid w:val="008349D6"/>
    <w:rsid w:val="008A179C"/>
    <w:rsid w:val="00A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9D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49D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AF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5F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F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5F9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49D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49D6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AF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5F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AF6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5F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JBM-ADM</dc:creator>
  <cp:lastModifiedBy>Maciej Hirniak</cp:lastModifiedBy>
  <cp:revision>4</cp:revision>
  <cp:lastPrinted>2017-03-27T05:49:00Z</cp:lastPrinted>
  <dcterms:created xsi:type="dcterms:W3CDTF">2017-02-10T07:33:00Z</dcterms:created>
  <dcterms:modified xsi:type="dcterms:W3CDTF">2017-03-27T05:49:00Z</dcterms:modified>
</cp:coreProperties>
</file>